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2159B767" w:rsidR="006E5D65" w:rsidRPr="00E960BB" w:rsidRDefault="00997F14" w:rsidP="64821B85">
      <w:pPr>
        <w:spacing w:line="240" w:lineRule="auto"/>
        <w:jc w:val="right"/>
        <w:rPr>
          <w:rFonts w:ascii="Corbel" w:hAnsi="Corbel"/>
          <w:i/>
          <w:iCs/>
        </w:rPr>
      </w:pPr>
      <w:r w:rsidRPr="64821B8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4821B85">
        <w:rPr>
          <w:rFonts w:ascii="Corbel" w:hAnsi="Corbel"/>
          <w:i/>
          <w:iCs/>
        </w:rPr>
        <w:t xml:space="preserve">Załącznik nr </w:t>
      </w:r>
      <w:r w:rsidR="006F31E2" w:rsidRPr="64821B85">
        <w:rPr>
          <w:rFonts w:ascii="Corbel" w:hAnsi="Corbel"/>
          <w:i/>
          <w:iCs/>
        </w:rPr>
        <w:t>1.5</w:t>
      </w:r>
      <w:r w:rsidR="00D8678B" w:rsidRPr="64821B85">
        <w:rPr>
          <w:rFonts w:ascii="Corbel" w:hAnsi="Corbel"/>
          <w:i/>
          <w:iCs/>
        </w:rPr>
        <w:t xml:space="preserve"> do Zarządzenia</w:t>
      </w:r>
      <w:r w:rsidR="002A22BF" w:rsidRPr="64821B85">
        <w:rPr>
          <w:rFonts w:ascii="Corbel" w:hAnsi="Corbel"/>
          <w:i/>
          <w:iCs/>
        </w:rPr>
        <w:t xml:space="preserve"> Rektora UR </w:t>
      </w:r>
      <w:r w:rsidR="00CD6897" w:rsidRPr="64821B85">
        <w:rPr>
          <w:rFonts w:ascii="Corbel" w:hAnsi="Corbel"/>
          <w:i/>
          <w:iCs/>
        </w:rPr>
        <w:t xml:space="preserve">nr </w:t>
      </w:r>
      <w:r w:rsidR="00CE7E2D">
        <w:rPr>
          <w:rFonts w:ascii="Corbel" w:hAnsi="Corbel"/>
          <w:i/>
          <w:iCs/>
        </w:rPr>
        <w:t>61</w:t>
      </w:r>
      <w:r w:rsidR="00F17567" w:rsidRPr="64821B85">
        <w:rPr>
          <w:rFonts w:ascii="Corbel" w:hAnsi="Corbel"/>
          <w:i/>
          <w:iCs/>
        </w:rPr>
        <w:t>/20</w:t>
      </w:r>
      <w:r w:rsidR="00746D40" w:rsidRPr="64821B85">
        <w:rPr>
          <w:rFonts w:ascii="Corbel" w:hAnsi="Corbel"/>
          <w:i/>
          <w:iCs/>
        </w:rPr>
        <w:t>2</w:t>
      </w:r>
      <w:r w:rsidR="00CE7E2D">
        <w:rPr>
          <w:rFonts w:ascii="Corbel" w:hAnsi="Corbel"/>
          <w:i/>
          <w:iCs/>
        </w:rPr>
        <w:t>5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B8D38" w14:textId="192743C2" w:rsidR="1DAEB3A0" w:rsidRDefault="1DAEB3A0" w:rsidP="64821B8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64821B85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4821B8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4821B85">
        <w:rPr>
          <w:rFonts w:ascii="Corbel" w:eastAsia="Corbel" w:hAnsi="Corbel" w:cs="Corbel"/>
          <w:sz w:val="24"/>
          <w:szCs w:val="24"/>
        </w:rPr>
        <w:t xml:space="preserve"> </w:t>
      </w:r>
    </w:p>
    <w:p w14:paraId="33014CCF" w14:textId="172C4D58" w:rsidR="1DAEB3A0" w:rsidRDefault="00CE7E2D" w:rsidP="00CE7E2D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1DAEB3A0" w:rsidRPr="64821B8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2343E">
        <w:rPr>
          <w:rFonts w:ascii="Corbel" w:eastAsia="Corbel" w:hAnsi="Corbel" w:cs="Corbel"/>
          <w:b/>
          <w:bCs/>
          <w:sz w:val="24"/>
          <w:szCs w:val="24"/>
        </w:rPr>
        <w:t>5</w:t>
      </w:r>
      <w:r w:rsidR="1DAEB3A0" w:rsidRPr="64821B85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92343E" w:rsidRPr="00CE7E2D">
        <w:rPr>
          <w:rFonts w:ascii="Corbel" w:eastAsia="Times New Roman" w:hAnsi="Corbel"/>
          <w:b/>
          <w:bCs/>
          <w:sz w:val="24"/>
          <w:szCs w:val="24"/>
        </w:rPr>
        <w:t>7</w:t>
      </w:r>
      <w:r w:rsidR="1DAEB3A0" w:rsidRPr="64821B85">
        <w:rPr>
          <w:rFonts w:ascii="Corbel" w:eastAsia="Corbel" w:hAnsi="Corbel" w:cs="Corbel"/>
          <w:sz w:val="24"/>
          <w:szCs w:val="24"/>
        </w:rPr>
        <w:t xml:space="preserve"> </w:t>
      </w:r>
    </w:p>
    <w:p w14:paraId="2E931B40" w14:textId="110ACF42" w:rsidR="1DAEB3A0" w:rsidRPr="00CE7E2D" w:rsidRDefault="1DAEB3A0" w:rsidP="64821B85">
      <w:pPr>
        <w:spacing w:after="0"/>
        <w:jc w:val="center"/>
      </w:pPr>
      <w:r w:rsidRPr="00CE7E2D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CE7E2D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4FB51660" w14:textId="6B10D45A" w:rsidR="1DAEB3A0" w:rsidRDefault="1DAEB3A0" w:rsidP="64821B8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64821B8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64821B85">
        <w:rPr>
          <w:rFonts w:ascii="Corbel" w:eastAsia="Corbel" w:hAnsi="Corbel" w:cs="Corbel"/>
          <w:sz w:val="24"/>
          <w:szCs w:val="24"/>
        </w:rPr>
        <w:t xml:space="preserve"> </w:t>
      </w:r>
      <w:r w:rsidRPr="64821B8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2343E">
        <w:rPr>
          <w:rFonts w:ascii="Corbel" w:eastAsia="Corbel" w:hAnsi="Corbel" w:cs="Corbel"/>
          <w:b/>
          <w:bCs/>
          <w:sz w:val="24"/>
          <w:szCs w:val="24"/>
        </w:rPr>
        <w:t>5</w:t>
      </w:r>
      <w:r w:rsidRPr="64821B85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92343E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64DED55D" w14:textId="62F297F1" w:rsidR="64821B85" w:rsidRDefault="64821B85" w:rsidP="64821B85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AAE99D2" w14:textId="77777777" w:rsidTr="00CE7E2D">
        <w:tc>
          <w:tcPr>
            <w:tcW w:w="428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22759D9" w14:textId="3CD9C349" w:rsidR="0085747A" w:rsidRPr="00CE7E2D" w:rsidRDefault="00980F32" w:rsidP="000F7C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E7E2D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Lektorat języka </w:t>
            </w:r>
            <w:r w:rsidR="000F7C62" w:rsidRPr="00CE7E2D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niemieckiego</w:t>
            </w:r>
          </w:p>
        </w:tc>
      </w:tr>
      <w:tr w:rsidR="0085747A" w:rsidRPr="009C54AE" w14:paraId="3053804E" w14:textId="77777777" w:rsidTr="00CE7E2D">
        <w:tc>
          <w:tcPr>
            <w:tcW w:w="428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014FDA5" w14:textId="3F40062D" w:rsidR="0085747A" w:rsidRPr="00F247D8" w:rsidRDefault="009D7775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47D8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31294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F247D8">
              <w:rPr>
                <w:rFonts w:ascii="Corbel" w:hAnsi="Corbel"/>
                <w:b w:val="0"/>
                <w:sz w:val="24"/>
                <w:szCs w:val="24"/>
              </w:rPr>
              <w:t>[1-2]O_08</w:t>
            </w:r>
          </w:p>
        </w:tc>
      </w:tr>
      <w:tr w:rsidR="0085747A" w:rsidRPr="009C54AE" w14:paraId="5525A509" w14:textId="77777777" w:rsidTr="00CE7E2D">
        <w:tc>
          <w:tcPr>
            <w:tcW w:w="428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AA69EC5" w14:textId="744FF8CC" w:rsidR="0085747A" w:rsidRPr="00980F32" w:rsidRDefault="009234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Wydział </w:t>
            </w:r>
            <w:r w:rsidR="00980F32"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Nauk Społecznych</w:t>
            </w:r>
          </w:p>
        </w:tc>
      </w:tr>
      <w:tr w:rsidR="0085747A" w:rsidRPr="009C54AE" w14:paraId="0613FF0A" w14:textId="77777777" w:rsidTr="00CE7E2D">
        <w:tc>
          <w:tcPr>
            <w:tcW w:w="428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CFFA2C3" w14:textId="30A2CEA8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="0085747A" w:rsidRPr="009C54AE" w14:paraId="68EB8CAD" w14:textId="77777777" w:rsidTr="00CE7E2D">
        <w:tc>
          <w:tcPr>
            <w:tcW w:w="428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566B2EB4" w14:textId="2FC6947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="0085747A" w:rsidRPr="009C54AE" w14:paraId="5D546B14" w14:textId="77777777" w:rsidTr="00CE7E2D">
        <w:tc>
          <w:tcPr>
            <w:tcW w:w="428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BFE22A" w14:textId="14CAF67C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441B9E6" w14:textId="77777777" w:rsidTr="00CE7E2D">
        <w:tc>
          <w:tcPr>
            <w:tcW w:w="428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B11A10" w14:textId="7C3EEB04" w:rsidR="0085747A" w:rsidRPr="009C54AE" w:rsidRDefault="003129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80F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9AFA22B" w14:textId="77777777" w:rsidTr="00CE7E2D">
        <w:tc>
          <w:tcPr>
            <w:tcW w:w="428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E6BD3F7" w14:textId="0AD23BAF" w:rsidR="0085747A" w:rsidRPr="009C54AE" w:rsidRDefault="003129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0F3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5CF7654" w14:textId="77777777" w:rsidTr="00CE7E2D">
        <w:tc>
          <w:tcPr>
            <w:tcW w:w="428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F1C9010" w14:textId="77100241" w:rsidR="0085747A" w:rsidRPr="009C54AE" w:rsidRDefault="00980F3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 i II</w:t>
            </w:r>
          </w:p>
        </w:tc>
      </w:tr>
      <w:tr w:rsidR="0085747A" w:rsidRPr="009C54AE" w14:paraId="1B589D54" w14:textId="77777777" w:rsidTr="00CE7E2D">
        <w:tc>
          <w:tcPr>
            <w:tcW w:w="428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A7BD2F4" w14:textId="5B0BDE2D" w:rsidR="0085747A" w:rsidRPr="009C54AE" w:rsidRDefault="00482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CE7E2D">
        <w:tc>
          <w:tcPr>
            <w:tcW w:w="428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3F80403C" w14:textId="6A927564" w:rsidR="00923D7D" w:rsidRPr="009C54AE" w:rsidRDefault="00D83272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niemiecki</w:t>
            </w:r>
          </w:p>
        </w:tc>
      </w:tr>
      <w:tr w:rsidR="0085747A" w:rsidRPr="009C54AE" w14:paraId="21FBA89B" w14:textId="77777777" w:rsidTr="00CE7E2D">
        <w:tc>
          <w:tcPr>
            <w:tcW w:w="428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6309CC9" w14:textId="5BFD6349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CE7E2D">
        <w:tc>
          <w:tcPr>
            <w:tcW w:w="428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3041825" w14:textId="317659E6" w:rsidR="0085747A" w:rsidRPr="009D7775" w:rsidRDefault="009D7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1952CCCF" w14:textId="77777777" w:rsidTr="64821B8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64821B8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25235041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3375228F" w:rsidR="00015B8F" w:rsidRPr="009C54AE" w:rsidRDefault="003129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154488F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53591EB2" w14:textId="77777777" w:rsidTr="64821B8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3697" w14:textId="56CA9CA9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4A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FD51" w14:textId="618037CA" w:rsidR="00980F32" w:rsidRPr="009C54AE" w:rsidRDefault="003129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48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9FD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02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29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ED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B4C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6DE" w14:textId="01466C35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2E26E4C6" w14:textId="77777777" w:rsidTr="64821B8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ED1" w14:textId="35E8F170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E4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8847" w14:textId="1B3C97C0" w:rsidR="00980F32" w:rsidRPr="009C54AE" w:rsidRDefault="003129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782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64B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A5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1CD6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E2E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CA5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D8ED" w14:textId="05B1DAE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A78D6B9" w:rsidR="0085747A" w:rsidRPr="009C54AE" w:rsidRDefault="00980F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42768E68" w:rsidR="00E22FBC" w:rsidRPr="009C54AE" w:rsidRDefault="00E22FBC" w:rsidP="64821B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4821B85">
        <w:rPr>
          <w:rFonts w:ascii="Corbel" w:hAnsi="Corbel"/>
          <w:smallCaps w:val="0"/>
        </w:rPr>
        <w:t xml:space="preserve">1.3 </w:t>
      </w:r>
      <w:r>
        <w:tab/>
      </w:r>
      <w:r w:rsidRPr="64821B85">
        <w:rPr>
          <w:rFonts w:ascii="Corbel" w:hAnsi="Corbel"/>
          <w:smallCaps w:val="0"/>
        </w:rPr>
        <w:t>For</w:t>
      </w:r>
      <w:r w:rsidR="00445970" w:rsidRPr="64821B85">
        <w:rPr>
          <w:rFonts w:ascii="Corbel" w:hAnsi="Corbel"/>
          <w:smallCaps w:val="0"/>
        </w:rPr>
        <w:t xml:space="preserve">ma zaliczenia przedmiotu </w:t>
      </w:r>
      <w:r w:rsidRPr="64821B85">
        <w:rPr>
          <w:rFonts w:ascii="Corbel" w:hAnsi="Corbel"/>
          <w:smallCaps w:val="0"/>
        </w:rPr>
        <w:t xml:space="preserve">(z toku) </w:t>
      </w:r>
      <w:r w:rsidRPr="64821B85">
        <w:rPr>
          <w:rFonts w:ascii="Corbel" w:hAnsi="Corbel"/>
          <w:b w:val="0"/>
          <w:smallCaps w:val="0"/>
        </w:rPr>
        <w:t>(egzamin, zaliczenie z oceną, zaliczenie bez oceny)</w:t>
      </w:r>
    </w:p>
    <w:p w14:paraId="790CBED2" w14:textId="682AAB31" w:rsidR="00E960BB" w:rsidRPr="00980F32" w:rsidRDefault="00980F32" w:rsidP="00980F32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14:paraId="790164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4821B85">
        <w:rPr>
          <w:rFonts w:ascii="Corbel" w:hAnsi="Corbel"/>
        </w:rPr>
        <w:t xml:space="preserve">2.Wymagania wstępne </w:t>
      </w:r>
    </w:p>
    <w:p w14:paraId="204E15E1" w14:textId="1216562E" w:rsidR="64821B85" w:rsidRDefault="64821B85" w:rsidP="64821B85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64821B85">
        <w:tc>
          <w:tcPr>
            <w:tcW w:w="9670" w:type="dxa"/>
          </w:tcPr>
          <w:p w14:paraId="4EF45BD1" w14:textId="09F9F000" w:rsidR="0085747A" w:rsidRPr="00980F32" w:rsidRDefault="00980F32" w:rsidP="009D77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 xml:space="preserve">Znajomość języka </w:t>
            </w:r>
            <w:r w:rsidR="009D7775">
              <w:rPr>
                <w:rFonts w:ascii="Corbel" w:hAnsi="Corbel"/>
                <w:sz w:val="24"/>
                <w:szCs w:val="24"/>
                <w:lang w:eastAsia="pl-PL"/>
              </w:rPr>
              <w:t xml:space="preserve">niemieckiego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4F63752" w14:textId="5ED4A00B" w:rsidR="0085747A" w:rsidRPr="00C05F44" w:rsidRDefault="0071620A" w:rsidP="64821B85">
      <w:pPr>
        <w:pStyle w:val="Punktygwne"/>
        <w:spacing w:before="0" w:after="0"/>
        <w:rPr>
          <w:rFonts w:ascii="Corbel" w:hAnsi="Corbel"/>
        </w:rPr>
      </w:pPr>
      <w:r w:rsidRPr="64821B85">
        <w:rPr>
          <w:rFonts w:ascii="Corbel" w:hAnsi="Corbel"/>
        </w:rPr>
        <w:lastRenderedPageBreak/>
        <w:t>3.</w:t>
      </w:r>
      <w:r w:rsidR="0085747A" w:rsidRPr="64821B85">
        <w:rPr>
          <w:rFonts w:ascii="Corbel" w:hAnsi="Corbel"/>
        </w:rPr>
        <w:t xml:space="preserve"> </w:t>
      </w:r>
      <w:r w:rsidR="00A84C85" w:rsidRPr="64821B85">
        <w:rPr>
          <w:rFonts w:ascii="Corbel" w:hAnsi="Corbel"/>
        </w:rPr>
        <w:t>cele, efekty uczenia się</w:t>
      </w:r>
      <w:r w:rsidR="0085747A" w:rsidRPr="64821B85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F510D90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6792B0D5" w:rsidR="007B4260" w:rsidRPr="00980F32" w:rsidRDefault="00980F32" w:rsidP="003E5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językiem </w:t>
            </w:r>
            <w:r w:rsidR="003E56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niemieckim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do celów zawodowych i naukowych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4AF3D23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="00980F32" w:rsidRPr="009C54AE" w14:paraId="794906E9" w14:textId="77777777" w:rsidTr="00883F5F">
        <w:tc>
          <w:tcPr>
            <w:tcW w:w="851" w:type="dxa"/>
            <w:vAlign w:val="center"/>
          </w:tcPr>
          <w:p w14:paraId="3BE800C0" w14:textId="3537B89D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E71A80E" w14:textId="7902A304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="00980F32" w:rsidRPr="009C54AE" w14:paraId="3D23A1A0" w14:textId="77777777" w:rsidTr="00883F5F">
        <w:tc>
          <w:tcPr>
            <w:tcW w:w="851" w:type="dxa"/>
            <w:vAlign w:val="center"/>
          </w:tcPr>
          <w:p w14:paraId="37F2A963" w14:textId="0F11FF83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3591FBE" w14:textId="070861C7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3F8D1088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lskim i obcym (języku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dotyczących socjologicznych zagadnień szczegółowych</w:t>
            </w:r>
          </w:p>
        </w:tc>
        <w:tc>
          <w:tcPr>
            <w:tcW w:w="1873" w:type="dxa"/>
          </w:tcPr>
          <w:p w14:paraId="0F14C8B3" w14:textId="6A484A5A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13653F04" w:rsidR="0085747A" w:rsidRPr="00980F32" w:rsidRDefault="00980F32" w:rsidP="009D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14:paraId="5192D312" w14:textId="65AF3C5C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D2FF505" w:rsidR="0085747A" w:rsidRPr="00980F32" w:rsidRDefault="00980F32" w:rsidP="009D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zgodnie z wymaganiami określonymi dla poziomu B2+ ESKOKJ</w:t>
            </w:r>
          </w:p>
        </w:tc>
        <w:tc>
          <w:tcPr>
            <w:tcW w:w="1873" w:type="dxa"/>
          </w:tcPr>
          <w:p w14:paraId="3299DB26" w14:textId="353A2095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="00980F32" w:rsidRPr="009C54AE" w14:paraId="3F7C7478" w14:textId="77777777" w:rsidTr="005E6E85">
        <w:tc>
          <w:tcPr>
            <w:tcW w:w="1701" w:type="dxa"/>
          </w:tcPr>
          <w:p w14:paraId="6F14837B" w14:textId="5129F366" w:rsidR="00980F32" w:rsidRDefault="00980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04F9E7" w14:textId="119E7AC8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szkoleniach, warsztatach, seminariach i studiach 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14:paraId="36F3BBE8" w14:textId="447D0E2C" w:rsidR="00980F32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64821B85">
        <w:rPr>
          <w:rFonts w:ascii="Corbel" w:hAnsi="Corbel"/>
          <w:b/>
          <w:bCs/>
          <w:sz w:val="24"/>
          <w:szCs w:val="24"/>
        </w:rPr>
        <w:t>3.3</w:t>
      </w:r>
      <w:r w:rsidR="001D7B54" w:rsidRPr="64821B85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4821B85">
        <w:rPr>
          <w:rFonts w:ascii="Corbel" w:hAnsi="Corbel"/>
          <w:b/>
          <w:bCs/>
          <w:sz w:val="24"/>
          <w:szCs w:val="24"/>
        </w:rPr>
        <w:t>T</w:t>
      </w:r>
      <w:r w:rsidR="001D7B54" w:rsidRPr="64821B85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64821B85">
        <w:rPr>
          <w:rFonts w:ascii="Corbel" w:hAnsi="Corbel"/>
          <w:sz w:val="24"/>
          <w:szCs w:val="24"/>
        </w:rPr>
        <w:t xml:space="preserve">  </w:t>
      </w: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4821B8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4821B85">
        <w:rPr>
          <w:rFonts w:ascii="Corbel" w:hAnsi="Corbel"/>
          <w:sz w:val="24"/>
          <w:szCs w:val="24"/>
        </w:rPr>
        <w:t xml:space="preserve">, </w:t>
      </w:r>
      <w:r w:rsidRPr="64821B8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2B35690B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63BDAC04" w14:textId="77777777" w:rsidR="009D7775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</w:t>
            </w:r>
            <w:r w:rsidR="009D7775"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niemieckiego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1A6D9C7D" w14:textId="5F287986" w:rsidR="009D7775" w:rsidRPr="009D7775" w:rsidRDefault="009D7775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Szkolnictwo wyższe w Polsce i w krajach niemieckojęzycznych -porównanie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14:paraId="41BEEFCF" w14:textId="7A192D2A" w:rsidR="002711EB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14:paraId="101346A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Kompetenc</w:t>
            </w: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je zawodowe socjologa.</w:t>
            </w:r>
          </w:p>
          <w:p w14:paraId="73A371F7" w14:textId="17F1B613" w:rsid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14:paraId="2EE2B731" w14:textId="4DC51711" w:rsidR="009D7775" w:rsidRPr="002711EB" w:rsidRDefault="009D7775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niemieckojęzycznych.</w:t>
            </w:r>
          </w:p>
          <w:p w14:paraId="639DF272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14:paraId="367E4544" w14:textId="58F7ED5A" w:rsidR="009D7775" w:rsidRDefault="009D7775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Uzależnienia – rodzaje uzależnień (m.in. alkohol, narkotyki, praca, Internet).</w:t>
            </w:r>
          </w:p>
          <w:p w14:paraId="5A671E8A" w14:textId="678482A5" w:rsidR="009D7775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557AACAD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2711EB" w:rsidRPr="009C54AE" w14:paraId="24A75FA8" w14:textId="77777777" w:rsidTr="007D2595">
        <w:tc>
          <w:tcPr>
            <w:tcW w:w="9520" w:type="dxa"/>
          </w:tcPr>
          <w:p w14:paraId="4B484D20" w14:textId="30762A33" w:rsidR="009D7775" w:rsidRDefault="009D7775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Problemy i zagrożenia współczesnej rodziny – rodzina polska a rodzina niemiecka.</w:t>
            </w:r>
          </w:p>
          <w:p w14:paraId="20E72646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14:paraId="0AAD810A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14:paraId="0B41831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14:paraId="3B81124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14:paraId="4207146D" w14:textId="4E06766C" w:rsidR="009D7775" w:rsidRPr="009D7775" w:rsidRDefault="002711EB" w:rsidP="009D777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A283" w14:textId="3486A4AC" w:rsidR="007448C7" w:rsidRPr="007448C7" w:rsidRDefault="007448C7" w:rsidP="007448C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007448C7">
        <w:rPr>
          <w:rFonts w:ascii="Corbel" w:hAnsi="Corbel" w:cs="DejaVuSans"/>
          <w:sz w:val="24"/>
          <w:szCs w:val="24"/>
          <w:lang w:eastAsia="pl-PL"/>
        </w:rPr>
        <w:t xml:space="preserve">Praca indywidualna i w grupach, dyskusja, dydaktyczna prezentacja multimedialna, analiza i interpretacja tekstów źródłowych, ćwiczenia translacyjne pisemne i ustne z zakresu języka </w:t>
      </w:r>
      <w:r w:rsidR="00BF3DE3">
        <w:rPr>
          <w:rFonts w:ascii="Corbel" w:hAnsi="Corbel" w:cs="DejaVuSans"/>
          <w:sz w:val="24"/>
          <w:szCs w:val="24"/>
          <w:lang w:eastAsia="pl-PL"/>
        </w:rPr>
        <w:t xml:space="preserve">niemieckiego </w:t>
      </w:r>
      <w:r w:rsidRPr="007448C7">
        <w:rPr>
          <w:rFonts w:ascii="Corbel" w:hAnsi="Corbel" w:cs="DejaVuSans"/>
          <w:sz w:val="24"/>
          <w:szCs w:val="24"/>
          <w:lang w:eastAsia="pl-PL"/>
        </w:rPr>
        <w:t>specjalistycznego w zakresie pr</w:t>
      </w:r>
      <w:r>
        <w:rPr>
          <w:rFonts w:ascii="Corbel" w:hAnsi="Corbel" w:cs="DejaVuSans"/>
          <w:sz w:val="24"/>
          <w:szCs w:val="24"/>
          <w:lang w:eastAsia="pl-PL"/>
        </w:rPr>
        <w:t>oblematyki nauk socjologicznych.</w:t>
      </w:r>
    </w:p>
    <w:p w14:paraId="7D947A73" w14:textId="229569EA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7448C7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7448C7">
        <w:tc>
          <w:tcPr>
            <w:tcW w:w="1961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6B63376" w14:textId="43135E33" w:rsidR="0085747A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14:paraId="10FEE640" w14:textId="77777777" w:rsid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4649B46" w:rsidR="0085747A" w:rsidRP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448C7" w:rsidRPr="009C54AE" w14:paraId="28E18B9A" w14:textId="77777777" w:rsidTr="007448C7">
        <w:tc>
          <w:tcPr>
            <w:tcW w:w="1961" w:type="dxa"/>
          </w:tcPr>
          <w:p w14:paraId="0926F632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36BF7FE8" w14:textId="3FB22D9F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krótsza i dłuższa wypowiedź ustna, projekt indywidualny (prezentacja multimedialna z zakresu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14:paraId="4D3183D4" w14:textId="77777777" w:rsidR="00FD5E09" w:rsidRDefault="00FD5E09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5D91DE65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05BDBEC6" w14:textId="77777777" w:rsidTr="007448C7">
        <w:tc>
          <w:tcPr>
            <w:tcW w:w="1961" w:type="dxa"/>
          </w:tcPr>
          <w:p w14:paraId="6FB55F4B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1C15C3F9" w14:textId="2557B4D4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14:paraId="0A0BE786" w14:textId="400DBFC1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20BCB269" w14:textId="77777777" w:rsidTr="007448C7">
        <w:tc>
          <w:tcPr>
            <w:tcW w:w="1961" w:type="dxa"/>
          </w:tcPr>
          <w:p w14:paraId="15F50F04" w14:textId="7F4551C4" w:rsidR="007448C7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54DD8E1" w14:textId="36DAB520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14:paraId="46861411" w14:textId="6A821AA4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64821B85">
        <w:tc>
          <w:tcPr>
            <w:tcW w:w="9670" w:type="dxa"/>
          </w:tcPr>
          <w:p w14:paraId="67744F22" w14:textId="1BD1B354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0B51FD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40CC32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14:paraId="4C4BE1C3" w14:textId="378FBB95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14:paraId="039B3A16" w14:textId="07A25B62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>- zaliczenie sprawdzianu pisemnego (test jednokrotnego wyboru i/lub dłuższa wypowiedź pisemna)</w:t>
            </w:r>
          </w:p>
          <w:p w14:paraId="75100A5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14:paraId="0369E68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14:paraId="79BC6F8C" w14:textId="5CE8D2A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14:paraId="3981255A" w14:textId="222C00F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prezentacja projektu indywidualnego z zakresu studiowanego kierunku i specjalności</w:t>
            </w:r>
            <w:r w:rsidR="6618F21D"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>(lektura, sprawozdanie /streszczenie artykułu naukowego, prezentacja multimedialna tematu z zakresu studiowanej specjalności wraz z omówieniem).</w:t>
            </w:r>
          </w:p>
          <w:p w14:paraId="3E422CC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69DBF65" w14:textId="7B2AD940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14:paraId="1CC47E2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14:paraId="35DD615D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2A97C30" w14:textId="24E7D8C1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F3C0B9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212AA5" w14:textId="6D7339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1A5C522" w14:textId="77777777" w:rsidR="007D2595" w:rsidRPr="00FD5E09" w:rsidRDefault="007D2595" w:rsidP="00FD5E09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14:paraId="7C4BE951" w14:textId="75BBE3A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14:paraId="294B2C7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BEF63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14:paraId="53F997D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2943F65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2F4E4784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4.0 – wykazuje znajomość każdej z treści uczenia się na poziomie 71%-80%</w:t>
            </w:r>
          </w:p>
          <w:p w14:paraId="691A599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32EC9A8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39F0F340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441A051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6BB0BFA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14:paraId="0C6B6C43" w14:textId="08259E33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5F8F7061" w14:textId="2632BA8F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7EF9310" w14:textId="032BC3FD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E7B0976" w14:textId="410A71B0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2B3D0B" w14:textId="48B8504B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9CA676" w14:textId="1D0904DD" w:rsidR="00FD5E09" w:rsidRPr="00FD5E09" w:rsidRDefault="55487589" w:rsidP="64821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="7CBDB245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="7CBDB245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="7CBDB245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  <w:r w:rsidR="1855631E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14:paraId="15D198E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21AAE4DF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14:paraId="341AF6F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14:paraId="0981EF53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58C70B75" w14:textId="17484FB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14:paraId="5FAB108C" w14:textId="4C272C0C" w:rsidR="00FD5E09" w:rsidRPr="009C54AE" w:rsidRDefault="00FD5E09" w:rsidP="00FD5E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2C0917E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0D1685D" w:rsidR="0085747A" w:rsidRPr="009C54AE" w:rsidRDefault="00312940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8E749DB" w:rsidR="00C61DC5" w:rsidRPr="001E001C" w:rsidRDefault="001E001C" w:rsidP="0074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82C71C2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14:paraId="146FA8D7" w14:textId="7BAF81D6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14:paraId="1AACF588" w14:textId="64351D75" w:rsidR="00C61DC5" w:rsidRPr="009C54AE" w:rsidRDefault="00312940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54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1848447" w:rsidR="0085747A" w:rsidRPr="009C54AE" w:rsidRDefault="001E001C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33D37C1F" w:rsidR="0085747A" w:rsidRPr="009C54AE" w:rsidRDefault="001E001C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64821B85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1714FC36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64821B85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1B1C54B3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9D7775" w14:paraId="4C3DA9A3" w14:textId="77777777" w:rsidTr="64821B85">
        <w:trPr>
          <w:trHeight w:val="397"/>
        </w:trPr>
        <w:tc>
          <w:tcPr>
            <w:tcW w:w="8534" w:type="dxa"/>
          </w:tcPr>
          <w:p w14:paraId="5D048D2E" w14:textId="77777777" w:rsidR="0085747A" w:rsidRPr="003E56F6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56F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11CB82" w14:textId="26251119" w:rsidR="00D6470C" w:rsidRPr="00D6470C" w:rsidRDefault="00D6470C" w:rsidP="00D64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4C90D47F" w14:textId="5939B178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Koithan, Ute, Lösche, Ralf-Peter; Aspekte 2 (B2).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Lehrbuch und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Arbeitsbuch. Klett Verlag (2015).</w:t>
            </w:r>
          </w:p>
          <w:p w14:paraId="3712185E" w14:textId="6A3BD8E6" w:rsidR="001E001C" w:rsidRPr="001E001C" w:rsidRDefault="00BF3DE3" w:rsidP="00BF3D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 DaF kompakt neu A1-B1 (Lektor Ernst Klett, Stuttgart 2015).</w:t>
            </w:r>
          </w:p>
        </w:tc>
      </w:tr>
      <w:tr w:rsidR="0085747A" w:rsidRPr="009C54AE" w14:paraId="4BD74FEE" w14:textId="77777777" w:rsidTr="64821B85">
        <w:trPr>
          <w:trHeight w:val="397"/>
        </w:trPr>
        <w:tc>
          <w:tcPr>
            <w:tcW w:w="8534" w:type="dxa"/>
          </w:tcPr>
          <w:p w14:paraId="74A1A3BC" w14:textId="77777777" w:rsidR="0085747A" w:rsidRPr="00482DA2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2DA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C31BD3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1. Bęza, S; Eine kleine Landeskunde der deutschsprachigen Länder.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WSiP</w:t>
            </w:r>
          </w:p>
          <w:p w14:paraId="430F5248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(2010)</w:t>
            </w:r>
          </w:p>
          <w:p w14:paraId="19394510" w14:textId="578299F5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 PONS – Wielki słownik polsko- niemiecki, Wielki słownik niemiecko –</w:t>
            </w:r>
            <w:r w:rsidR="149D16BC"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polski, LektorKlett, (2008)</w:t>
            </w:r>
          </w:p>
          <w:p w14:paraId="3ECA83B3" w14:textId="590CD1BF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 Strony www z zakresu tematycz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nego studiowanego kierunku oraz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specjalności.</w:t>
            </w:r>
          </w:p>
          <w:p w14:paraId="7A2B4F2D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 E-dydaktyka (strona www CJO; http://e-dydaktyka.ur.rzeszow.pl)</w:t>
            </w:r>
          </w:p>
          <w:p w14:paraId="6A8979CA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 Słowniki online: http://www.duden.de, http://de.pons.com</w:t>
            </w:r>
          </w:p>
          <w:p w14:paraId="371231BF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6. Platforma e-learningowa</w:t>
            </w:r>
          </w:p>
          <w:p w14:paraId="7536A14F" w14:textId="500B2D6C" w:rsidR="007D2595" w:rsidRPr="001E001C" w:rsidRDefault="00BF3DE3" w:rsidP="00BF3D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7. 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D40A1" w14:textId="77777777" w:rsidR="005C1E9D" w:rsidRDefault="005C1E9D" w:rsidP="00C16ABF">
      <w:pPr>
        <w:spacing w:after="0" w:line="240" w:lineRule="auto"/>
      </w:pPr>
      <w:r>
        <w:separator/>
      </w:r>
    </w:p>
  </w:endnote>
  <w:endnote w:type="continuationSeparator" w:id="0">
    <w:p w14:paraId="69C8A90B" w14:textId="77777777" w:rsidR="005C1E9D" w:rsidRDefault="005C1E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60FB" w14:textId="77777777" w:rsidR="005C1E9D" w:rsidRDefault="005C1E9D" w:rsidP="00C16ABF">
      <w:pPr>
        <w:spacing w:after="0" w:line="240" w:lineRule="auto"/>
      </w:pPr>
      <w:r>
        <w:separator/>
      </w:r>
    </w:p>
  </w:footnote>
  <w:footnote w:type="continuationSeparator" w:id="0">
    <w:p w14:paraId="0C0A8EDD" w14:textId="77777777" w:rsidR="005C1E9D" w:rsidRDefault="005C1E9D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835078">
    <w:abstractNumId w:val="0"/>
  </w:num>
  <w:num w:numId="2" w16cid:durableId="855119028">
    <w:abstractNumId w:val="1"/>
  </w:num>
  <w:num w:numId="3" w16cid:durableId="11810850">
    <w:abstractNumId w:val="3"/>
  </w:num>
  <w:num w:numId="4" w16cid:durableId="11013063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0F7C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B51"/>
    <w:rsid w:val="001A70D2"/>
    <w:rsid w:val="001C4489"/>
    <w:rsid w:val="001D657B"/>
    <w:rsid w:val="001D7B54"/>
    <w:rsid w:val="001E001C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055"/>
    <w:rsid w:val="002F02A3"/>
    <w:rsid w:val="002F4ABE"/>
    <w:rsid w:val="003018BA"/>
    <w:rsid w:val="0030395F"/>
    <w:rsid w:val="00305C92"/>
    <w:rsid w:val="00312940"/>
    <w:rsid w:val="003151C5"/>
    <w:rsid w:val="003343CF"/>
    <w:rsid w:val="003357F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6F6"/>
    <w:rsid w:val="003F205D"/>
    <w:rsid w:val="003F38C0"/>
    <w:rsid w:val="00414E3C"/>
    <w:rsid w:val="0042244A"/>
    <w:rsid w:val="0042745A"/>
    <w:rsid w:val="00431D5C"/>
    <w:rsid w:val="00435C82"/>
    <w:rsid w:val="004362C6"/>
    <w:rsid w:val="00437C4E"/>
    <w:rsid w:val="00437FA2"/>
    <w:rsid w:val="00445970"/>
    <w:rsid w:val="00452ECB"/>
    <w:rsid w:val="00461EFC"/>
    <w:rsid w:val="004652C2"/>
    <w:rsid w:val="004706D1"/>
    <w:rsid w:val="00471326"/>
    <w:rsid w:val="0047598D"/>
    <w:rsid w:val="00482DA2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1E9D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D40"/>
    <w:rsid w:val="00746EC8"/>
    <w:rsid w:val="00763BF1"/>
    <w:rsid w:val="00766FD4"/>
    <w:rsid w:val="0078168C"/>
    <w:rsid w:val="00787C2A"/>
    <w:rsid w:val="00790E27"/>
    <w:rsid w:val="007A00C9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77051"/>
    <w:rsid w:val="00884922"/>
    <w:rsid w:val="00884E7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43E"/>
    <w:rsid w:val="00923D7D"/>
    <w:rsid w:val="009508DF"/>
    <w:rsid w:val="00950DAC"/>
    <w:rsid w:val="00954A07"/>
    <w:rsid w:val="00980F32"/>
    <w:rsid w:val="00997F14"/>
    <w:rsid w:val="009A78D9"/>
    <w:rsid w:val="009C3E31"/>
    <w:rsid w:val="009C54AE"/>
    <w:rsid w:val="009C5813"/>
    <w:rsid w:val="009C788E"/>
    <w:rsid w:val="009D3F3B"/>
    <w:rsid w:val="009D777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18F0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D78DD"/>
    <w:rsid w:val="00BF2C41"/>
    <w:rsid w:val="00BF3DE3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E7E2D"/>
    <w:rsid w:val="00CF25BE"/>
    <w:rsid w:val="00CF3AA3"/>
    <w:rsid w:val="00CF78ED"/>
    <w:rsid w:val="00D02B25"/>
    <w:rsid w:val="00D02EBA"/>
    <w:rsid w:val="00D10018"/>
    <w:rsid w:val="00D11720"/>
    <w:rsid w:val="00D17C3C"/>
    <w:rsid w:val="00D219A8"/>
    <w:rsid w:val="00D26B2C"/>
    <w:rsid w:val="00D352C9"/>
    <w:rsid w:val="00D425B2"/>
    <w:rsid w:val="00D428D6"/>
    <w:rsid w:val="00D552B2"/>
    <w:rsid w:val="00D608D1"/>
    <w:rsid w:val="00D6470C"/>
    <w:rsid w:val="00D74119"/>
    <w:rsid w:val="00D8075B"/>
    <w:rsid w:val="00D83272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7D8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  <w:rsid w:val="042E83E3"/>
    <w:rsid w:val="08DD3D6D"/>
    <w:rsid w:val="149D16BC"/>
    <w:rsid w:val="1855631E"/>
    <w:rsid w:val="1DAEB3A0"/>
    <w:rsid w:val="3F931D58"/>
    <w:rsid w:val="55487589"/>
    <w:rsid w:val="64821B85"/>
    <w:rsid w:val="6618F21D"/>
    <w:rsid w:val="682B9E94"/>
    <w:rsid w:val="7CBDB245"/>
    <w:rsid w:val="7D0CC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7483-1870-4BAC-B8CA-2F743B47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1722</Words>
  <Characters>10338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35</cp:revision>
  <cp:lastPrinted>2019-02-06T12:12:00Z</cp:lastPrinted>
  <dcterms:created xsi:type="dcterms:W3CDTF">2020-10-20T18:08:00Z</dcterms:created>
  <dcterms:modified xsi:type="dcterms:W3CDTF">2025-11-05T15:57:00Z</dcterms:modified>
</cp:coreProperties>
</file>